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ROSCI0013ZPB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Bucegi</w:t>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sz w:val="22"/>
          <w:szCs w:val="22"/>
        </w:rPr>
      </w:pPr>
      <w:sdt>
        <w:sdtPr>
          <w:id w:val="-201837200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D">
      <w:pPr>
        <w:rPr>
          <w:sz w:val="22"/>
          <w:szCs w:val="22"/>
        </w:rPr>
      </w:pPr>
      <w:sdt>
        <w:sdtPr>
          <w:id w:val="-60487049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E">
      <w:pPr>
        <w:rPr>
          <w:sz w:val="22"/>
          <w:szCs w:val="22"/>
        </w:rPr>
      </w:pPr>
      <w:sdt>
        <w:sdtPr>
          <w:id w:val="-60363355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sz w:val="22"/>
                <w:szCs w:val="22"/>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c>
                <w:tcPr/>
                <w:p w:rsidR="00000000" w:rsidDel="00000000" w:rsidP="00000000" w:rsidRDefault="00000000" w:rsidRPr="00000000" w14:paraId="00000026">
                  <w:pPr>
                    <w:jc w:val="center"/>
                    <w:rPr>
                      <w:sz w:val="22"/>
                      <w:szCs w:val="22"/>
                    </w:rPr>
                  </w:pPr>
                  <w:r w:rsidDel="00000000" w:rsidR="00000000" w:rsidRPr="00000000">
                    <w:rPr>
                      <w:rtl w:val="0"/>
                    </w:rPr>
                  </w:r>
                </w:p>
              </w:tc>
              <w:tc>
                <w:tcPr/>
                <w:p w:rsidR="00000000" w:rsidDel="00000000" w:rsidP="00000000" w:rsidRDefault="00000000" w:rsidRPr="00000000" w14:paraId="0000002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rPr>
                <w:sz w:val="22"/>
                <w:szCs w:val="22"/>
              </w:rPr>
            </w:pPr>
            <w:r w:rsidDel="00000000" w:rsidR="00000000" w:rsidRPr="00000000">
              <w:rPr>
                <w:rtl w:val="0"/>
              </w:rPr>
            </w:r>
          </w:p>
        </w:tc>
      </w:tr>
    </w:tbl>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rPr>
                <w:sz w:val="22"/>
                <w:szCs w:val="22"/>
              </w:rPr>
            </w:pPr>
            <w:r w:rsidDel="00000000" w:rsidR="00000000" w:rsidRPr="00000000">
              <w:rPr>
                <w:rtl w:val="0"/>
              </w:rPr>
            </w:r>
          </w:p>
        </w:tc>
      </w:tr>
    </w:tbl>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rtl w:val="0"/>
        </w:rPr>
      </w:r>
    </w:p>
    <w:p w:rsidR="00000000" w:rsidDel="00000000" w:rsidP="00000000" w:rsidRDefault="00000000" w:rsidRPr="00000000" w14:paraId="00000047">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46,76</w:t>
      </w:r>
    </w:p>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0,12%</w:t>
      </w:r>
    </w:p>
    <w:p w:rsidR="00000000" w:rsidDel="00000000" w:rsidP="00000000" w:rsidRDefault="00000000" w:rsidRPr="00000000" w14:paraId="0000004E">
      <w:pPr>
        <w:rPr>
          <w:sz w:val="22"/>
          <w:szCs w:val="22"/>
        </w:rPr>
      </w:pPr>
      <w:r w:rsidDel="00000000" w:rsidR="00000000" w:rsidRPr="00000000">
        <w:rPr>
          <w:rtl w:val="0"/>
        </w:rPr>
      </w:r>
    </w:p>
    <w:p w:rsidR="00000000" w:rsidDel="00000000" w:rsidP="00000000" w:rsidRDefault="00000000" w:rsidRPr="00000000" w14:paraId="0000004F">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51">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2">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sz w:val="22"/>
                <w:szCs w:val="22"/>
              </w:rPr>
            </w:pPr>
            <w:r w:rsidDel="00000000" w:rsidR="00000000" w:rsidRPr="00000000">
              <w:rPr>
                <w:sz w:val="22"/>
                <w:szCs w:val="22"/>
                <w:rtl w:val="0"/>
              </w:rPr>
              <w:t xml:space="preserve">RO12, RO31</w:t>
            </w:r>
          </w:p>
        </w:tc>
        <w:tc>
          <w:tcPr/>
          <w:p w:rsidR="00000000" w:rsidDel="00000000" w:rsidP="00000000" w:rsidRDefault="00000000" w:rsidRPr="00000000" w14:paraId="00000054">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sz w:val="22"/>
                <w:szCs w:val="22"/>
              </w:rPr>
            </w:pPr>
            <w:r w:rsidDel="00000000" w:rsidR="00000000" w:rsidRPr="00000000">
              <w:rPr>
                <w:sz w:val="22"/>
                <w:szCs w:val="22"/>
                <w:rtl w:val="0"/>
              </w:rPr>
              <w:t xml:space="preserve">Centru, Sud-Muntenia</w:t>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 Prahova, Dâmbovița</w:t>
      </w:r>
    </w:p>
    <w:p w:rsidR="00000000" w:rsidDel="00000000" w:rsidP="00000000" w:rsidRDefault="00000000" w:rsidRPr="00000000" w14:paraId="00000059">
      <w:pPr>
        <w:rPr>
          <w:sz w:val="22"/>
          <w:szCs w:val="22"/>
        </w:rPr>
      </w:pPr>
      <w:r w:rsidDel="00000000" w:rsidR="00000000" w:rsidRPr="00000000">
        <w:rPr>
          <w:rtl w:val="0"/>
        </w:rPr>
      </w:r>
    </w:p>
    <w:p w:rsidR="00000000" w:rsidDel="00000000" w:rsidP="00000000" w:rsidRDefault="00000000" w:rsidRPr="00000000" w14:paraId="0000005A">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B">
            <w:pPr>
              <w:rPr>
                <w:sz w:val="22"/>
                <w:szCs w:val="22"/>
              </w:rPr>
            </w:pPr>
            <w:sdt>
              <w:sdtPr>
                <w:id w:val="33128276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C">
            <w:pPr>
              <w:rPr>
                <w:sz w:val="22"/>
                <w:szCs w:val="22"/>
              </w:rPr>
            </w:pPr>
            <w:r w:rsidDel="00000000" w:rsidR="00000000" w:rsidRPr="00000000">
              <w:rPr>
                <w:rtl w:val="0"/>
              </w:rPr>
            </w:r>
          </w:p>
        </w:tc>
        <w:tc>
          <w:tcPr/>
          <w:p w:rsidR="00000000" w:rsidDel="00000000" w:rsidP="00000000" w:rsidRDefault="00000000" w:rsidRPr="00000000" w14:paraId="0000005D">
            <w:pPr>
              <w:rPr>
                <w:sz w:val="22"/>
                <w:szCs w:val="22"/>
              </w:rPr>
            </w:pPr>
            <w:sdt>
              <w:sdtPr>
                <w:id w:val="27884752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sdt>
              <w:sdtPr>
                <w:id w:val="43595008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sdt>
              <w:sdtPr>
                <w:id w:val="-185854475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61">
            <w:pPr>
              <w:rPr>
                <w:sz w:val="22"/>
                <w:szCs w:val="22"/>
              </w:rPr>
            </w:pPr>
            <w:r w:rsidDel="00000000" w:rsidR="00000000" w:rsidRPr="00000000">
              <w:rPr>
                <w:rtl w:val="0"/>
              </w:rPr>
            </w:r>
          </w:p>
        </w:tc>
        <w:tc>
          <w:tcPr/>
          <w:p w:rsidR="00000000" w:rsidDel="00000000" w:rsidP="00000000" w:rsidRDefault="00000000" w:rsidRPr="00000000" w14:paraId="00000062">
            <w:pPr>
              <w:rPr>
                <w:sz w:val="22"/>
                <w:szCs w:val="22"/>
              </w:rPr>
            </w:pPr>
            <w:sdt>
              <w:sdtPr>
                <w:id w:val="-129747740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63">
            <w:pPr>
              <w:rPr>
                <w:sz w:val="22"/>
                <w:szCs w:val="22"/>
              </w:rPr>
            </w:pPr>
            <w:r w:rsidDel="00000000" w:rsidR="00000000" w:rsidRPr="00000000">
              <w:rPr>
                <w:rtl w:val="0"/>
              </w:rPr>
            </w:r>
          </w:p>
        </w:tc>
        <w:tc>
          <w:tcPr/>
          <w:p w:rsidR="00000000" w:rsidDel="00000000" w:rsidP="00000000" w:rsidRDefault="00000000" w:rsidRPr="00000000" w14:paraId="00000064">
            <w:pPr>
              <w:rPr>
                <w:sz w:val="22"/>
                <w:szCs w:val="22"/>
              </w:rPr>
            </w:pPr>
            <w:sdt>
              <w:sdtPr>
                <w:id w:val="-164978783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sz w:val="22"/>
          <w:szCs w:val="22"/>
        </w:rPr>
      </w:pP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B">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F">
      <w:pPr>
        <w:rPr>
          <w:color w:val="000000"/>
          <w:sz w:val="22"/>
          <w:szCs w:val="22"/>
        </w:rPr>
      </w:pPr>
      <w:r w:rsidDel="00000000" w:rsidR="00000000" w:rsidRPr="00000000">
        <w:rPr>
          <w:b w:val="1"/>
          <w:bCs w:val="1"/>
          <w:color w:val="000000"/>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color w:val="000000"/>
          <w:sz w:val="22"/>
          <w:szCs w:val="22"/>
        </w:rPr>
      </w:pPr>
      <w:r w:rsidDel="00000000" w:rsidR="00000000" w:rsidRPr="00000000">
        <w:rPr>
          <w:color w:val="000000"/>
          <w:sz w:val="22"/>
          <w:szCs w:val="22"/>
          <w:rtl w:val="0"/>
        </w:rPr>
        <w:t xml:space="preserve">Suprafața totală a ZPB (ha)</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46,76</w:t>
      </w:r>
    </w:p>
    <w:p w:rsidR="00000000" w:rsidDel="00000000" w:rsidP="00000000" w:rsidRDefault="00000000" w:rsidRPr="00000000" w14:paraId="00000072">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Ordonanţa de urgenţă nr. 57/2007 privind regimul ariilor naturale protejate, conservarea habitatelor naturale, a florei şi faunei sălbatice cu modificările și completările ulterioare;</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Hotararea 985/2025 privind abrogarea Hotărârii Guvernului nr. 187/2011 pentru aprobarea Planului de management al Parcului Natural Bucegi.</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Plan de management integrat al Parcului Natural Bucegi şi al sitului Natura 2000 ROSCI0013 Bucegi (varianta draft)</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477"/>
        <w:gridCol w:w="4487"/>
        <w:tblGridChange w:id="0">
          <w:tblGrid>
            <w:gridCol w:w="4477"/>
            <w:gridCol w:w="44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br w:type="textWrapping"/>
              <w:t xml:space="preserve">91V0 Păduri dacice de fag (Symphyto-Fagion) </w:t>
            </w:r>
          </w:p>
          <w:p w:rsidR="00000000" w:rsidDel="00000000" w:rsidP="00000000" w:rsidRDefault="00000000" w:rsidRPr="00000000" w14:paraId="0000007F">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montane de conifere:</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Nevretrebrate: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4057 Chilostoma banaticum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F">
            <w:pPr>
              <w:spacing w:after="0" w:lineRule="auto"/>
              <w:jc w:val="both"/>
              <w:rPr>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A2">
      <w:pPr>
        <w:rPr>
          <w:sz w:val="22"/>
          <w:szCs w:val="22"/>
        </w:rPr>
      </w:pPr>
      <w:r w:rsidDel="00000000" w:rsidR="00000000" w:rsidRPr="00000000">
        <w:rPr>
          <w:rtl w:val="0"/>
        </w:rPr>
      </w:r>
    </w:p>
    <w:p w:rsidR="00000000" w:rsidDel="00000000" w:rsidP="00000000" w:rsidRDefault="00000000" w:rsidRPr="00000000" w14:paraId="000000A3">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Anastasiu, P., Crose, G. (2007) – Flori din Munții Bucegi, Editura Victor B Victor.</w:t>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Beldie, Al. (1967) – Flora și vegetația Munților Bucegi, Editura Academiei RSR.</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 Brădescu, V., Marinescu, F. (1976) – Rezervații naturale geologice din România, Editura Tehnică, București, p. 120-122, 170-171.</w:t>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Lazăr, I. (2006) – Jurasicul Mediu din versantul vestic al Masivului Bucegi – paleontologie şi paleoecologie, 184 p., 40 planşe, ISBN (10) 973-558-243-0; ISBN (13) 978-973-558-243-2, Editura Ars Docendi, Bucureşti.</w:t>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Stoiculescu, C. D. (2003) – Parcul Național Bucegi în derivă?, Revista de Silvicultură, Cinegetică și Conservarea Naturii, nr. 17-18, p. 52-60.</w:t>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0AF">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pentru toate zonele propuse, au fost realizate la: 26 septembrie 2024 – Brașov, 10 februarie 2025 Târgoviște, 12 februarie 2025 – Ploiești. Ulterior, în cadrul procesului de consultare extins la nivel național, a avut loc o consultare suplimentară online în data de 11 decembrie 2025 cu participarea factorilor interesați relevanți din județul Brașov, în 18 decembrie 2025 online cu participarea factorilor interesați relevanți din județul Dâmbovița, în 20 ianuarie 2026 online cu participarea factorilor interesați relevanți din județul Prahova. Apoi  în data de 11 februarie 2026 a avut loc o consultare la Prefectura Prahova, iar în perioada 16-18 februarie 2026 au avut loc consultări la  Prefectura Brașov</w:t>
      </w:r>
    </w:p>
    <w:p w:rsidR="00000000" w:rsidDel="00000000" w:rsidP="00000000" w:rsidRDefault="00000000" w:rsidRPr="00000000" w14:paraId="000000B1">
      <w:pPr>
        <w:rPr>
          <w:sz w:val="22"/>
          <w:szCs w:val="22"/>
        </w:rPr>
      </w:pPr>
      <w:r w:rsidDel="00000000" w:rsidR="00000000" w:rsidRPr="00000000">
        <w:rPr>
          <w:rtl w:val="0"/>
        </w:rPr>
      </w:r>
    </w:p>
    <w:p w:rsidR="00000000" w:rsidDel="00000000" w:rsidP="00000000" w:rsidRDefault="00000000" w:rsidRPr="00000000" w14:paraId="000000B2">
      <w:pPr>
        <w:jc w:val="center"/>
        <w:rPr>
          <w:sz w:val="22"/>
          <w:szCs w:val="22"/>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0B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z6ASfca1X5ppf0R0VfaH1O5ok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56NFJWZ1JRNVB0VjBTYW5rQUZMSmdaVW9taWNqS0Q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